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8031" w14:textId="77777777" w:rsidR="00003926" w:rsidRDefault="004A3179">
      <w:pPr>
        <w:spacing w:after="1934" w:line="259" w:lineRule="auto"/>
        <w:ind w:left="1987" w:firstLine="0"/>
      </w:pPr>
      <w:bookmarkStart w:id="0" w:name="_GoBack"/>
      <w:bookmarkEnd w:id="0"/>
      <w:r>
        <w:t xml:space="preserve"> </w:t>
      </w:r>
    </w:p>
    <w:p w14:paraId="08BA928C" w14:textId="77777777" w:rsidR="00003926" w:rsidRDefault="004A3179">
      <w:pPr>
        <w:spacing w:after="566" w:line="259" w:lineRule="auto"/>
        <w:ind w:left="0" w:firstLine="0"/>
      </w:pPr>
      <w:r>
        <w:t xml:space="preserve"> </w:t>
      </w:r>
    </w:p>
    <w:p w14:paraId="7894C7EB" w14:textId="77777777" w:rsidR="00003926" w:rsidRDefault="004A3179">
      <w:pPr>
        <w:spacing w:after="149" w:line="258" w:lineRule="auto"/>
        <w:ind w:left="0" w:firstLine="0"/>
      </w:pPr>
      <w:r>
        <w:rPr>
          <w:b/>
          <w:sz w:val="72"/>
        </w:rPr>
        <w:t xml:space="preserve">Інформація для прохачів захисту, які реєструються у поліції </w:t>
      </w:r>
      <w:r>
        <w:rPr>
          <w:b/>
          <w:color w:val="808080"/>
          <w:sz w:val="72"/>
        </w:rPr>
        <w:t xml:space="preserve"> </w:t>
      </w:r>
    </w:p>
    <w:p w14:paraId="7EC67203" w14:textId="77777777" w:rsidR="00003926" w:rsidRDefault="004A3179">
      <w:pPr>
        <w:spacing w:after="0" w:line="259" w:lineRule="auto"/>
        <w:ind w:left="0" w:firstLine="0"/>
      </w:pPr>
      <w:r>
        <w:t xml:space="preserve"> </w:t>
      </w:r>
    </w:p>
    <w:p w14:paraId="1E10CFCF" w14:textId="77777777" w:rsidR="00003926" w:rsidRDefault="004A3179">
      <w:pPr>
        <w:spacing w:after="276" w:line="259" w:lineRule="auto"/>
        <w:ind w:left="1987" w:firstLine="0"/>
      </w:pPr>
      <w:r>
        <w:t xml:space="preserve"> </w:t>
      </w:r>
    </w:p>
    <w:p w14:paraId="0600EF46" w14:textId="77777777" w:rsidR="00003926" w:rsidRDefault="004A3179">
      <w:pPr>
        <w:pStyle w:val="Overskrift1"/>
        <w:spacing w:after="77"/>
        <w:ind w:left="-5"/>
      </w:pPr>
      <w:r>
        <w:t xml:space="preserve">Проживання до реєстрації </w:t>
      </w:r>
    </w:p>
    <w:p w14:paraId="6CE8174F" w14:textId="77777777" w:rsidR="00003926" w:rsidRDefault="004A3179">
      <w:pPr>
        <w:ind w:left="-5" w:right="3"/>
      </w:pPr>
      <w:r>
        <w:t xml:space="preserve">Якщо Вам потрібно житло, зверніться до поліції.  </w:t>
      </w:r>
    </w:p>
    <w:p w14:paraId="1ED32B76" w14:textId="77777777" w:rsidR="00003926" w:rsidRDefault="004A3179">
      <w:pPr>
        <w:spacing w:after="433"/>
        <w:ind w:left="-5" w:right="3"/>
      </w:pPr>
      <w:r>
        <w:t xml:space="preserve">Вам запропонують місце проживання з ліжком та харчуванням. Там Ви можете проживати до завершення реєстрації в поліції. Ми не можемо точно сказати, скільки Вам доведеться чекати реєстрації. Вам повідомлять, коли надійде Ваша черга. </w:t>
      </w:r>
    </w:p>
    <w:p w14:paraId="263707CA" w14:textId="77777777" w:rsidR="00003926" w:rsidRDefault="004A3179">
      <w:pPr>
        <w:pStyle w:val="Overskrift1"/>
        <w:ind w:left="-5"/>
      </w:pPr>
      <w:r>
        <w:t>Після реєстрації у поліц</w:t>
      </w:r>
      <w:r>
        <w:t xml:space="preserve">ії </w:t>
      </w:r>
    </w:p>
    <w:p w14:paraId="28329385" w14:textId="77777777" w:rsidR="00003926" w:rsidRDefault="004A3179">
      <w:pPr>
        <w:ind w:left="-5" w:right="3"/>
      </w:pPr>
      <w:r>
        <w:t>Після того, як Ви зареєструєтесь у поліції, Вам запропонують термінове розміщення. Воно може знаходитись де завгодно у Норвегії. Поліція забезпечує транспорт від місця реєстрації до термінового розміщення, запропонованого Директоратом у справах іноземц</w:t>
      </w:r>
      <w:r>
        <w:t xml:space="preserve">ів (UDI). </w:t>
      </w:r>
    </w:p>
    <w:p w14:paraId="37522591" w14:textId="77777777" w:rsidR="00003926" w:rsidRDefault="004A3179">
      <w:pPr>
        <w:spacing w:after="128"/>
        <w:ind w:left="-5" w:right="3"/>
      </w:pPr>
      <w:r>
        <w:t xml:space="preserve">Ви можете також проживати за приватною адресою або подати заяву про альтернативний пункт розміщення.  </w:t>
      </w:r>
    </w:p>
    <w:p w14:paraId="6577F3C1" w14:textId="77777777" w:rsidR="00003926" w:rsidRDefault="004A3179">
      <w:pPr>
        <w:spacing w:after="432"/>
        <w:ind w:left="-5" w:right="3"/>
      </w:pPr>
      <w:r>
        <w:lastRenderedPageBreak/>
        <w:t xml:space="preserve">Вам повідомлять, коли і куди Ви будете переїжджати. </w:t>
      </w:r>
    </w:p>
    <w:p w14:paraId="45CF2946" w14:textId="77777777" w:rsidR="00003926" w:rsidRDefault="004A3179">
      <w:pPr>
        <w:pStyle w:val="Overskrift1"/>
        <w:spacing w:after="76"/>
        <w:ind w:left="-5"/>
      </w:pPr>
      <w:r>
        <w:t xml:space="preserve">Термінове розміщення </w:t>
      </w:r>
    </w:p>
    <w:p w14:paraId="376F4D6E" w14:textId="77777777" w:rsidR="00003926" w:rsidRDefault="004A3179">
      <w:pPr>
        <w:spacing w:after="143"/>
        <w:ind w:left="-5" w:right="3"/>
      </w:pPr>
      <w:r>
        <w:t xml:space="preserve">Термінове розміщення - </w:t>
      </w:r>
      <w:r>
        <w:t>це пропозиція житла для прохачів притулку. Таке житло має необхідний мінімум зручностей, що задовольняють Ваші основні потреби. Термінове розміщення - це безпечне місце проживання. Ви можете проживати там, поки чекаєте відповіді на Вашу заяву про звернення</w:t>
      </w:r>
      <w:r>
        <w:t xml:space="preserve"> за захистом, та подальшого поселення в одній з комун (муніципалітетів). Проживання у місці термінового розміщення добровільне. У місці термінового розміщення Ви отримаєте </w:t>
      </w:r>
    </w:p>
    <w:p w14:paraId="43FA371F" w14:textId="77777777" w:rsidR="00003926" w:rsidRDefault="004A3179">
      <w:pPr>
        <w:numPr>
          <w:ilvl w:val="0"/>
          <w:numId w:val="1"/>
        </w:numPr>
        <w:ind w:right="3" w:hanging="348"/>
      </w:pPr>
      <w:r>
        <w:t xml:space="preserve">доступ до безплатного бездротового інтернету </w:t>
      </w:r>
    </w:p>
    <w:p w14:paraId="71218902" w14:textId="77777777" w:rsidR="00003926" w:rsidRDefault="004A3179">
      <w:pPr>
        <w:numPr>
          <w:ilvl w:val="0"/>
          <w:numId w:val="1"/>
        </w:numPr>
        <w:ind w:right="3" w:hanging="348"/>
      </w:pPr>
      <w:r>
        <w:t xml:space="preserve">гроші на кишенькові витрати </w:t>
      </w:r>
    </w:p>
    <w:p w14:paraId="2E920F62" w14:textId="77777777" w:rsidR="00003926" w:rsidRDefault="004A3179">
      <w:pPr>
        <w:numPr>
          <w:ilvl w:val="0"/>
          <w:numId w:val="1"/>
        </w:numPr>
        <w:ind w:right="3" w:hanging="348"/>
      </w:pPr>
      <w:r>
        <w:t>гроші на</w:t>
      </w:r>
      <w:r>
        <w:t xml:space="preserve"> їжу, якщо у місці термінового розміщення немає їдальні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інформацію про харчування, правила користування житлом, пожежну безпеку та що Вам потрібно робити, якщо Вам потрібна невідкладна допомога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>інформацію про комунальні послуги, такі як школа, медичн</w:t>
      </w:r>
      <w:r>
        <w:t xml:space="preserve">е обслуговування, пропозиції у місцевій громаді (транспорт, магазини та інше) та процес поселення </w:t>
      </w:r>
    </w:p>
    <w:p w14:paraId="3464ED9B" w14:textId="77777777" w:rsidR="00003926" w:rsidRDefault="004A3179">
      <w:pPr>
        <w:ind w:left="-5" w:right="3"/>
      </w:pPr>
      <w:r>
        <w:t>Після реєстрації у поліції Ви отримуєте такі ж права на медичне обслуговування, як і усі інші жителі Норвегії. Якщо ви потребуєте медичних послуг, то вам пок</w:t>
      </w:r>
      <w:r>
        <w:t xml:space="preserve">риють витрати на медичну допомогу, ліки та транспорт до медичних установ. </w:t>
      </w:r>
    </w:p>
    <w:p w14:paraId="1EFC2655" w14:textId="77777777" w:rsidR="00003926" w:rsidRDefault="004A3179">
      <w:pPr>
        <w:spacing w:after="36" w:line="259" w:lineRule="auto"/>
        <w:ind w:left="1987" w:firstLine="0"/>
      </w:pPr>
      <w:r>
        <w:t xml:space="preserve"> </w:t>
      </w:r>
    </w:p>
    <w:p w14:paraId="4A57483F" w14:textId="77777777" w:rsidR="00003926" w:rsidRDefault="004A3179">
      <w:pPr>
        <w:pStyle w:val="Overskrift1"/>
        <w:ind w:left="-5"/>
      </w:pPr>
      <w:r>
        <w:t xml:space="preserve">Проживання за приватною адресою </w:t>
      </w:r>
    </w:p>
    <w:p w14:paraId="117B69AA" w14:textId="77777777" w:rsidR="00003926" w:rsidRDefault="004A3179">
      <w:pPr>
        <w:ind w:left="-5" w:right="3"/>
      </w:pPr>
      <w:r>
        <w:t>Проживання за приватною адресою означає, що Ви проживаєте поза системою прийому біженців та прохачів притулку. Якщо Ви обираєте проживання за прив</w:t>
      </w:r>
      <w:r>
        <w:t>атною адресою, то маєте самі знайти собі житло та мати змогу забезпечити себе фінансово. Важливо, щоб Ви повідомили Вашу адресу в Директорат у справах іноземців (UDI) та поліцію. Це потрібно для того, щоб вони могли надіслати Вам рішення про надання Вам ти</w:t>
      </w:r>
      <w:r>
        <w:t xml:space="preserve">мчасового колективного захисту. Якщо Директорат у справах іноземців (UDI) не знатиме, де Ви проживаєте, то Вашу справу не буде розглянуто, і Вам не забезпечать поселення з державною допомогою. </w:t>
      </w:r>
    </w:p>
    <w:p w14:paraId="46914AE4" w14:textId="77777777" w:rsidR="00003926" w:rsidRDefault="004A3179">
      <w:pPr>
        <w:ind w:left="-5" w:right="3"/>
      </w:pPr>
      <w:r>
        <w:t>У вас такі ж права на медичну допомогу, як і в усіх жителів Но</w:t>
      </w:r>
      <w:r>
        <w:t xml:space="preserve">рвегії. Якщо ви потребуєте медичних послуг, то Ви маєте самі заплатити за медичну допомогу, ліки та транспорт до медичних установ. Медична допомога безкоштовна для дітей від 0 до 16 років, але ліки та транспорт Ви маєте оплатити самі.  </w:t>
      </w:r>
    </w:p>
    <w:p w14:paraId="4EF2E624" w14:textId="77777777" w:rsidR="00003926" w:rsidRDefault="004A3179">
      <w:pPr>
        <w:ind w:left="-5" w:right="3"/>
      </w:pPr>
      <w:r>
        <w:t>Якщо Ви будете знах</w:t>
      </w:r>
      <w:r>
        <w:t xml:space="preserve">одитись у Норвегії більше 3 місяців, то Ваші діти віком від 6 до 16 років мають право на шкільну освіту (початкова та підліткова школа 1 – 10 класи). Для </w:t>
      </w:r>
      <w:r>
        <w:lastRenderedPageBreak/>
        <w:t xml:space="preserve">отримання інформації про школу звертайтеся до адміністрації комуни за місцем проживання. </w:t>
      </w:r>
    </w:p>
    <w:p w14:paraId="5773E0B2" w14:textId="77777777" w:rsidR="00003926" w:rsidRDefault="004A3179">
      <w:pPr>
        <w:spacing w:after="433"/>
        <w:ind w:left="-5" w:right="3"/>
      </w:pPr>
      <w:r>
        <w:t>Якщо Ви прож</w:t>
      </w:r>
      <w:r>
        <w:t xml:space="preserve">иваєте за приватною адресою, але бажаєте отримати місце термінового розміщення, зверніться до поліції за місцем реєстрації або до Директорату у справах іноземців (UDI) за телефоном  23 35 15 00. </w:t>
      </w:r>
    </w:p>
    <w:p w14:paraId="138002E7" w14:textId="77777777" w:rsidR="00003926" w:rsidRDefault="004A3179">
      <w:pPr>
        <w:pStyle w:val="Overskrift1"/>
        <w:ind w:left="-5"/>
      </w:pPr>
      <w:r>
        <w:t xml:space="preserve">Узгоджене самостійне поселення    </w:t>
      </w:r>
    </w:p>
    <w:p w14:paraId="30FC2386" w14:textId="77777777" w:rsidR="00003926" w:rsidRDefault="004A3179">
      <w:pPr>
        <w:ind w:left="-5" w:right="3"/>
      </w:pPr>
      <w:r>
        <w:t>Ви можете поселитись у ко</w:t>
      </w:r>
      <w:r>
        <w:t>муні самі, без допомоги Директорату з питань імміграції та культурно-етнічного різноманіття (IMDI). Такий спосіб поселення називається узгоджене самостійне поселення. Якщо Директорат з питань імміграції та культурноетнічного різноманіття (IMDI) ще не призн</w:t>
      </w:r>
      <w:r>
        <w:t xml:space="preserve">ачив Вам комуну для поселення, то Ви можете обрати узгоджене самостійне поселення.   </w:t>
      </w:r>
    </w:p>
    <w:p w14:paraId="53EB89B8" w14:textId="77777777" w:rsidR="00003926" w:rsidRDefault="004A3179">
      <w:pPr>
        <w:ind w:left="-5" w:right="3"/>
      </w:pPr>
      <w:r>
        <w:t>Для того, щоб домовитись про самостійне поселення, Вам потрібно звернутися до адміністрації комуни, у якій Ви бажаєте проживати, та з'ясувати, чи може комуна укласти з Ва</w:t>
      </w:r>
      <w:r>
        <w:t>ми договір про самостійне поселення. Якщо відповідь буде позитивною, то адміністрація комуни має узгодити поселення з Директоратом з питань імміграції та культурно-етнічного різноманіття (IMDI). Ви самі маєте знайти собі житло. Ви повинні узгодити житло та</w:t>
      </w:r>
      <w:r>
        <w:t xml:space="preserve"> договір на оренду житла з адміністрацію комуни перед тим, як Ви підпишете договір. Важливо, щоб Ви не підписували договір без узгодження з адміністрацією комуни. </w:t>
      </w:r>
    </w:p>
    <w:p w14:paraId="0E0F40F9" w14:textId="77777777" w:rsidR="00003926" w:rsidRDefault="004A3179">
      <w:pPr>
        <w:ind w:left="-5" w:right="3"/>
      </w:pPr>
      <w:r>
        <w:t>Якщо адміністрація комуни узгодить самостійне поселення з Директоратом з питань імміграції т</w:t>
      </w:r>
      <w:r>
        <w:t xml:space="preserve">а культурно-етнічного різноманіття (IMDI), то Ви отримаєте такі ж права і обов'язки, як і у разі поселення з державною допомогою.    </w:t>
      </w:r>
    </w:p>
    <w:p w14:paraId="7A3C3DDC" w14:textId="77777777" w:rsidR="00003926" w:rsidRDefault="004A3179">
      <w:pPr>
        <w:spacing w:after="0" w:line="259" w:lineRule="auto"/>
        <w:ind w:left="1987" w:firstLine="0"/>
      </w:pPr>
      <w:r>
        <w:t xml:space="preserve"> </w:t>
      </w:r>
    </w:p>
    <w:p w14:paraId="741E23F8" w14:textId="77777777" w:rsidR="00003926" w:rsidRDefault="004A3179">
      <w:pPr>
        <w:spacing w:after="125"/>
        <w:ind w:left="-5" w:right="3"/>
      </w:pPr>
      <w:r>
        <w:t xml:space="preserve">Ви маєте право на участь в ознайомлювальній програмі та на отримання грошової підтримки учасника ознайомлювальної програми.    </w:t>
      </w:r>
    </w:p>
    <w:p w14:paraId="4356D575" w14:textId="77777777" w:rsidR="00003926" w:rsidRDefault="004A3179">
      <w:pPr>
        <w:ind w:left="-5" w:right="3"/>
      </w:pPr>
      <w:r>
        <w:t xml:space="preserve">Не всі комуни укладають договір про самостійне поселення.    </w:t>
      </w:r>
    </w:p>
    <w:p w14:paraId="7547C6C9" w14:textId="77777777" w:rsidR="00003926" w:rsidRDefault="004A3179">
      <w:pPr>
        <w:spacing w:after="436"/>
        <w:ind w:left="-5" w:right="3"/>
      </w:pPr>
      <w:r>
        <w:t xml:space="preserve">Ви можете знайти інформацію про узгоджене самостійне поселення на </w:t>
      </w:r>
      <w:r>
        <w:t xml:space="preserve">сайті www.imdi.no  </w:t>
      </w:r>
    </w:p>
    <w:p w14:paraId="5DA212B1" w14:textId="77777777" w:rsidR="00003926" w:rsidRDefault="004A3179">
      <w:pPr>
        <w:pStyle w:val="Overskrift1"/>
        <w:spacing w:after="79"/>
        <w:ind w:left="-5"/>
      </w:pPr>
      <w:r>
        <w:t xml:space="preserve">Альтернативний пункт розміщення </w:t>
      </w:r>
    </w:p>
    <w:p w14:paraId="2DB3EBF1" w14:textId="77777777" w:rsidR="00003926" w:rsidRDefault="004A3179">
      <w:pPr>
        <w:ind w:left="-5" w:right="3"/>
      </w:pPr>
      <w:r>
        <w:t>Альтернативний пункт розміщення - це варіант проживання для прохачів притулку, які мають право на місце у притулку для біженців/термінове розміщення. Це означає, що Ви можете проживати у звичайному житлі</w:t>
      </w:r>
      <w:r>
        <w:t xml:space="preserve"> замість місця проживання, запропонованого Директоратом у справах іноземців (UDI). </w:t>
      </w:r>
    </w:p>
    <w:p w14:paraId="6A6F35A5" w14:textId="77777777" w:rsidR="00003926" w:rsidRDefault="004A3179">
      <w:pPr>
        <w:ind w:left="-5" w:right="3"/>
      </w:pPr>
      <w:r>
        <w:lastRenderedPageBreak/>
        <w:t>Директорат у справах іноземців (UDI) пропонує розширений порядок для надання альтернативного пункту розміщення для українців, які є цільовою групою для надання колективного</w:t>
      </w:r>
      <w:r>
        <w:t xml:space="preserve"> захисту і які проживають за приватною адресою або в іншому тимчасовому житлі до того, як їх буде поселено у одній з комун. </w:t>
      </w:r>
    </w:p>
    <w:p w14:paraId="4769E484" w14:textId="77777777" w:rsidR="00003926" w:rsidRDefault="004A3179">
      <w:pPr>
        <w:spacing w:after="141"/>
        <w:ind w:left="-5" w:right="3"/>
      </w:pPr>
      <w:r>
        <w:t>Для того, щоб подати заяву про альтернативний пункт розміщення, Ви повинні бути зареєстровані у поліції та мати DUF-номер та D-номе</w:t>
      </w:r>
      <w:r>
        <w:t xml:space="preserve">р. Ви також повинні мати місце для проживання в одній з комун. Приклади місця для проживання  </w:t>
      </w:r>
    </w:p>
    <w:p w14:paraId="4470732B" w14:textId="77777777" w:rsidR="00003926" w:rsidRDefault="004A3179">
      <w:pPr>
        <w:numPr>
          <w:ilvl w:val="0"/>
          <w:numId w:val="2"/>
        </w:numPr>
        <w:ind w:right="3" w:hanging="348"/>
      </w:pPr>
      <w:r>
        <w:t xml:space="preserve">у членів сім'ї, які проживають в одній з комун </w:t>
      </w:r>
    </w:p>
    <w:p w14:paraId="28FF22F2" w14:textId="77777777" w:rsidR="00003926" w:rsidRDefault="004A3179">
      <w:pPr>
        <w:numPr>
          <w:ilvl w:val="0"/>
          <w:numId w:val="2"/>
        </w:numPr>
        <w:ind w:right="3" w:hanging="348"/>
      </w:pPr>
      <w:r>
        <w:t xml:space="preserve">у інших приватних осіб, які запропонували житло  </w:t>
      </w:r>
    </w:p>
    <w:p w14:paraId="5EEC6E16" w14:textId="77777777" w:rsidR="00003926" w:rsidRDefault="004A3179">
      <w:pPr>
        <w:numPr>
          <w:ilvl w:val="0"/>
          <w:numId w:val="2"/>
        </w:numPr>
        <w:ind w:right="3" w:hanging="348"/>
      </w:pPr>
      <w:r>
        <w:t>житло, запропоноване недержавною організацією або комуною, і як</w:t>
      </w:r>
      <w:r>
        <w:t xml:space="preserve">е не належить до системи прийому біженців та прохачів захисту. </w:t>
      </w:r>
    </w:p>
    <w:p w14:paraId="2F482978" w14:textId="77777777" w:rsidR="00003926" w:rsidRDefault="004A3179">
      <w:pPr>
        <w:spacing w:after="412"/>
        <w:ind w:left="-5" w:right="3"/>
      </w:pPr>
      <w:r>
        <w:t>Розширений порядок для надання альтернативного пункту розміщення не поширюється на неповнолітніх без супроводу. Вони можуть подати заяву про альтернативний пункт розміщення у звичайному порядк</w:t>
      </w:r>
      <w:r>
        <w:t xml:space="preserve">у. </w:t>
      </w:r>
    </w:p>
    <w:p w14:paraId="7E6BB483" w14:textId="77777777" w:rsidR="00003926" w:rsidRDefault="004A3179">
      <w:pPr>
        <w:pStyle w:val="Overskrift2"/>
      </w:pPr>
      <w:r>
        <w:t xml:space="preserve">Заява про альтернативний пункт розміщення </w:t>
      </w:r>
    </w:p>
    <w:p w14:paraId="04F8F037" w14:textId="77777777" w:rsidR="00003926" w:rsidRDefault="004A3179">
      <w:pPr>
        <w:ind w:left="-5" w:right="3"/>
      </w:pPr>
      <w:r>
        <w:t>Заява про альтернативний пункт розміщення подається до Директорату у справах іноземців (UDI). Директорат працює над електронним порталом для подання заяви. Після отримання заяви Директорат звертається до адміністрації комуни з запитом про надання дозволу н</w:t>
      </w:r>
      <w:r>
        <w:t xml:space="preserve">а альтернативний пункт розміщення. Якщо Ви заздалегідь звернулися до адміністрації комуни, та адміністрація дала Вам дозвіл і завірила форму заяви підписом, то Директорат негайно дасть дозвіл на альтернативний пункт розміщення.  </w:t>
      </w:r>
    </w:p>
    <w:p w14:paraId="5D2433BD" w14:textId="77777777" w:rsidR="00003926" w:rsidRDefault="004A3179">
      <w:pPr>
        <w:ind w:left="-5" w:right="3"/>
      </w:pPr>
      <w:r>
        <w:t>Якщо комуна не прийме запи</w:t>
      </w:r>
      <w:r>
        <w:t xml:space="preserve">т, то ви отримаєте відмову на Вашу заяву. Адміністрація комуни не зобов'язується надавати альтернативний пункт розміщення. Ви все одно маєте право на місце у притулку для біженців/термінове розміщення. </w:t>
      </w:r>
    </w:p>
    <w:p w14:paraId="50E1B79F" w14:textId="77777777" w:rsidR="00003926" w:rsidRDefault="004A3179">
      <w:pPr>
        <w:spacing w:after="0" w:line="259" w:lineRule="auto"/>
        <w:ind w:left="1987" w:firstLine="0"/>
      </w:pPr>
      <w:r>
        <w:t xml:space="preserve"> </w:t>
      </w:r>
    </w:p>
    <w:p w14:paraId="7E4E200E" w14:textId="77777777" w:rsidR="00003926" w:rsidRDefault="004A3179">
      <w:pPr>
        <w:spacing w:after="436"/>
        <w:ind w:left="-5" w:right="3"/>
      </w:pPr>
      <w:r>
        <w:t>Якщо адміністрація комуни та Директорат у справах і</w:t>
      </w:r>
      <w:r>
        <w:t xml:space="preserve">ноземців дали дозвіл на альтернативний пункт розміщення, то комуна надасть Вам грошову допомогу на проживання, харчування та інші необхідні витрати. </w:t>
      </w:r>
    </w:p>
    <w:p w14:paraId="1630BC5D" w14:textId="77777777" w:rsidR="00003926" w:rsidRDefault="004A3179">
      <w:pPr>
        <w:pStyle w:val="Overskrift1"/>
        <w:ind w:left="-5"/>
      </w:pPr>
      <w:r>
        <w:t xml:space="preserve">Обстеження на туберкульоз </w:t>
      </w:r>
    </w:p>
    <w:p w14:paraId="66B6F840" w14:textId="77777777" w:rsidR="00003926" w:rsidRDefault="004A3179">
      <w:pPr>
        <w:spacing w:after="142"/>
        <w:ind w:left="-5" w:right="3"/>
      </w:pPr>
      <w:r>
        <w:t xml:space="preserve">Усі прохачі захисту в Норвегії повинні зробити обов'язкове обстеження на туберкульоз. Немає гарантії, що це відбудеться, поки Ви чекаєте на реєстрацію у поліції. </w:t>
      </w:r>
    </w:p>
    <w:p w14:paraId="145E9F7F" w14:textId="77777777" w:rsidR="00003926" w:rsidRDefault="004A3179">
      <w:pPr>
        <w:numPr>
          <w:ilvl w:val="0"/>
          <w:numId w:val="3"/>
        </w:numPr>
        <w:spacing w:after="141"/>
        <w:ind w:right="1" w:hanging="348"/>
      </w:pPr>
      <w:r>
        <w:lastRenderedPageBreak/>
        <w:t>Якщо Ви живете у місці термінового розміщення, то Вам повідомлять, коли і де Ви зробите обсте</w:t>
      </w:r>
      <w:r>
        <w:t xml:space="preserve">ження на туберкульоз. </w:t>
      </w:r>
    </w:p>
    <w:p w14:paraId="0D19825D" w14:textId="77777777" w:rsidR="00003926" w:rsidRDefault="004A3179">
      <w:pPr>
        <w:numPr>
          <w:ilvl w:val="0"/>
          <w:numId w:val="3"/>
        </w:numPr>
        <w:spacing w:after="420" w:line="281" w:lineRule="auto"/>
        <w:ind w:right="1" w:hanging="348"/>
      </w:pPr>
      <w:r>
        <w:t xml:space="preserve">Після реєстрації поліція надішле інформацію до комуни. Адміністрація комуни зв'яжеться з Вами та надасть інформацію про обстеження на туберкульоз. </w:t>
      </w:r>
    </w:p>
    <w:p w14:paraId="26AAD83E" w14:textId="77777777" w:rsidR="00003926" w:rsidRDefault="004A3179">
      <w:pPr>
        <w:pStyle w:val="Overskrift1"/>
        <w:spacing w:after="76"/>
        <w:ind w:left="-5"/>
      </w:pPr>
      <w:r>
        <w:t xml:space="preserve">Торгівля людьми </w:t>
      </w:r>
    </w:p>
    <w:p w14:paraId="03368DAE" w14:textId="77777777" w:rsidR="00003926" w:rsidRDefault="004A3179">
      <w:pPr>
        <w:ind w:left="-5" w:right="3"/>
      </w:pPr>
      <w:r>
        <w:t>Торгівля людьми - це використання дітей, жінок та чоловіків для вико</w:t>
      </w:r>
      <w:r>
        <w:t xml:space="preserve">нання роботи або надання послуг через застосування примусу, насильства, погроз та  спокуси, або використання вразливих осіб, що знаходяться у складній життєвій ситуації. </w:t>
      </w:r>
    </w:p>
    <w:p w14:paraId="5EE606CE" w14:textId="77777777" w:rsidR="00003926" w:rsidRDefault="004A3179">
      <w:pPr>
        <w:ind w:left="-5" w:right="3"/>
      </w:pPr>
      <w:r>
        <w:t>Ви можете отримати допомогу в Норвегії у разі насильства, сексуальної експлуатації, п</w:t>
      </w:r>
      <w:r>
        <w:t xml:space="preserve">римусу до виконання роботи або надання послуг попри Ваше бажання. Вам також допоможуть поміняти житло, якщо Ви не відчуваєте себе у безпеці там, де проживаєте.  </w:t>
      </w:r>
    </w:p>
    <w:p w14:paraId="399FE854" w14:textId="77777777" w:rsidR="00003926" w:rsidRDefault="004A3179">
      <w:pPr>
        <w:spacing w:after="127"/>
        <w:ind w:left="-5" w:right="3"/>
      </w:pPr>
      <w:r>
        <w:t>Якщо Вам потрібна допомога, Ви можете звернутись до поліції, інструктора Директорату у справах</w:t>
      </w:r>
      <w:r>
        <w:t xml:space="preserve"> іноземців (UDI), медичних робітників, робітників місця термінового розміщення або адміністрації комуни за місцем проживання. </w:t>
      </w:r>
    </w:p>
    <w:p w14:paraId="46A0A0AD" w14:textId="77777777" w:rsidR="00003926" w:rsidRDefault="004A3179">
      <w:pPr>
        <w:ind w:left="-5" w:right="3"/>
      </w:pPr>
      <w:r>
        <w:t>Ви можете також звернутися до співробітників ROSA. ROSA - це організація для осіб, які постраждали від торгівлі людьми. До органі</w:t>
      </w:r>
      <w:r>
        <w:t xml:space="preserve">зації можна зателефонувати цілодобово за номером 22 33 11 60 </w:t>
      </w:r>
    </w:p>
    <w:p w14:paraId="1B40F59A" w14:textId="77777777" w:rsidR="00003926" w:rsidRDefault="004A3179">
      <w:pPr>
        <w:spacing w:after="98" w:line="259" w:lineRule="auto"/>
        <w:ind w:left="0" w:firstLine="0"/>
      </w:pPr>
      <w:r>
        <w:t xml:space="preserve"> </w:t>
      </w:r>
    </w:p>
    <w:p w14:paraId="261AC5E0" w14:textId="77777777" w:rsidR="00003926" w:rsidRDefault="004A3179">
      <w:pPr>
        <w:spacing w:after="98" w:line="259" w:lineRule="auto"/>
        <w:ind w:left="0" w:firstLine="0"/>
      </w:pPr>
      <w:r>
        <w:t xml:space="preserve"> </w:t>
      </w:r>
    </w:p>
    <w:p w14:paraId="6C25ED4D" w14:textId="77777777" w:rsidR="00003926" w:rsidRDefault="004A3179">
      <w:pPr>
        <w:spacing w:after="100" w:line="259" w:lineRule="auto"/>
        <w:ind w:left="0" w:firstLine="0"/>
      </w:pPr>
      <w:r>
        <w:t xml:space="preserve"> </w:t>
      </w:r>
    </w:p>
    <w:p w14:paraId="060D9564" w14:textId="77777777" w:rsidR="00003926" w:rsidRDefault="004A3179">
      <w:pPr>
        <w:spacing w:after="0" w:line="259" w:lineRule="auto"/>
        <w:ind w:left="0" w:firstLine="0"/>
      </w:pPr>
      <w:r>
        <w:t xml:space="preserve"> </w:t>
      </w:r>
    </w:p>
    <w:sectPr w:rsidR="00003926">
      <w:headerReference w:type="even" r:id="rId10"/>
      <w:headerReference w:type="default" r:id="rId11"/>
      <w:headerReference w:type="first" r:id="rId12"/>
      <w:pgSz w:w="11906" w:h="16838"/>
      <w:pgMar w:top="4620" w:right="1428" w:bottom="96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AE21" w14:textId="77777777" w:rsidR="00000000" w:rsidRDefault="004A3179">
      <w:pPr>
        <w:spacing w:after="0" w:line="240" w:lineRule="auto"/>
      </w:pPr>
      <w:r>
        <w:separator/>
      </w:r>
    </w:p>
  </w:endnote>
  <w:endnote w:type="continuationSeparator" w:id="0">
    <w:p w14:paraId="37AE5625" w14:textId="77777777" w:rsidR="00000000" w:rsidRDefault="004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A833" w14:textId="77777777" w:rsidR="00000000" w:rsidRDefault="004A3179">
      <w:pPr>
        <w:spacing w:after="0" w:line="240" w:lineRule="auto"/>
      </w:pPr>
      <w:r>
        <w:separator/>
      </w:r>
    </w:p>
  </w:footnote>
  <w:footnote w:type="continuationSeparator" w:id="0">
    <w:p w14:paraId="01EF25BF" w14:textId="77777777" w:rsidR="00000000" w:rsidRDefault="004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F0E3" w14:textId="77777777" w:rsidR="00003926" w:rsidRDefault="004A31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BAABAC" wp14:editId="2658C9F7">
              <wp:simplePos x="0" y="0"/>
              <wp:positionH relativeFrom="page">
                <wp:posOffset>0</wp:posOffset>
              </wp:positionH>
              <wp:positionV relativeFrom="page">
                <wp:posOffset>899160</wp:posOffset>
              </wp:positionV>
              <wp:extent cx="2160905" cy="2160905"/>
              <wp:effectExtent l="0" t="0" r="0" b="0"/>
              <wp:wrapNone/>
              <wp:docPr id="2564" name="Group 2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905" cy="2160905"/>
                        <a:chOff x="0" y="0"/>
                        <a:chExt cx="2160905" cy="2160905"/>
                      </a:xfrm>
                    </wpg:grpSpPr>
                    <pic:pic xmlns:pic="http://schemas.openxmlformats.org/drawingml/2006/picture">
                      <pic:nvPicPr>
                        <pic:cNvPr id="2565" name="Picture 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2160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4" style="width:170.15pt;height:170.15pt;position:absolute;z-index:-2147483648;mso-position-horizontal-relative:page;mso-position-horizontal:absolute;margin-left:0pt;mso-position-vertical-relative:page;margin-top:70.8pt;" coordsize="21609,21609">
              <v:shape id="Picture 2565" style="position:absolute;width:21609;height:21609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5F0D" w14:textId="77777777" w:rsidR="00003926" w:rsidRDefault="004A31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48D276" wp14:editId="7FBEC883">
              <wp:simplePos x="0" y="0"/>
              <wp:positionH relativeFrom="page">
                <wp:posOffset>0</wp:posOffset>
              </wp:positionH>
              <wp:positionV relativeFrom="page">
                <wp:posOffset>899160</wp:posOffset>
              </wp:positionV>
              <wp:extent cx="2160905" cy="2160905"/>
              <wp:effectExtent l="0" t="0" r="0" b="0"/>
              <wp:wrapNone/>
              <wp:docPr id="2561" name="Group 2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905" cy="2160905"/>
                        <a:chOff x="0" y="0"/>
                        <a:chExt cx="2160905" cy="2160905"/>
                      </a:xfrm>
                    </wpg:grpSpPr>
                    <pic:pic xmlns:pic="http://schemas.openxmlformats.org/drawingml/2006/picture">
                      <pic:nvPicPr>
                        <pic:cNvPr id="2562" name="Picture 2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2160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1" style="width:170.15pt;height:170.15pt;position:absolute;z-index:-2147483648;mso-position-horizontal-relative:page;mso-position-horizontal:absolute;margin-left:0pt;mso-position-vertical-relative:page;margin-top:70.8pt;" coordsize="21609,21609">
              <v:shape id="Picture 2562" style="position:absolute;width:21609;height:21609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EA43" w14:textId="77777777" w:rsidR="00003926" w:rsidRDefault="004A31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1F4D03" wp14:editId="2CDA5D02">
              <wp:simplePos x="0" y="0"/>
              <wp:positionH relativeFrom="page">
                <wp:posOffset>0</wp:posOffset>
              </wp:positionH>
              <wp:positionV relativeFrom="page">
                <wp:posOffset>899160</wp:posOffset>
              </wp:positionV>
              <wp:extent cx="2160905" cy="2160905"/>
              <wp:effectExtent l="0" t="0" r="0" b="0"/>
              <wp:wrapNone/>
              <wp:docPr id="2558" name="Group 2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905" cy="2160905"/>
                        <a:chOff x="0" y="0"/>
                        <a:chExt cx="2160905" cy="2160905"/>
                      </a:xfrm>
                    </wpg:grpSpPr>
                    <pic:pic xmlns:pic="http://schemas.openxmlformats.org/drawingml/2006/picture">
                      <pic:nvPicPr>
                        <pic:cNvPr id="2559" name="Picture 2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2160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8" style="width:170.15pt;height:170.15pt;position:absolute;z-index:-2147483648;mso-position-horizontal-relative:page;mso-position-horizontal:absolute;margin-left:0pt;mso-position-vertical-relative:page;margin-top:70.8pt;" coordsize="21609,21609">
              <v:shape id="Picture 2559" style="position:absolute;width:21609;height:21609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8EE"/>
    <w:multiLevelType w:val="hybridMultilevel"/>
    <w:tmpl w:val="A10AAC00"/>
    <w:lvl w:ilvl="0" w:tplc="160E7A7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2E5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C8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49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E18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1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9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EAF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44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267B2"/>
    <w:multiLevelType w:val="hybridMultilevel"/>
    <w:tmpl w:val="EBCEC622"/>
    <w:lvl w:ilvl="0" w:tplc="C17C688C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60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A36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AF8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20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486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53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C4A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475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F3028"/>
    <w:multiLevelType w:val="hybridMultilevel"/>
    <w:tmpl w:val="5352F5BE"/>
    <w:lvl w:ilvl="0" w:tplc="03C86CE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CAD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23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D1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E80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40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829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48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260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26"/>
    <w:rsid w:val="00003926"/>
    <w:rsid w:val="004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9111"/>
  <w15:docId w15:val="{53949F1C-806D-442B-8FD1-D82BCA0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9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38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6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26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C93CA15E52E43B129E30DF360ED0D" ma:contentTypeVersion="14" ma:contentTypeDescription="Opprett et nytt dokument." ma:contentTypeScope="" ma:versionID="32fe4df9b93f7379fe8707ec3620ce45">
  <xsd:schema xmlns:xsd="http://www.w3.org/2001/XMLSchema" xmlns:xs="http://www.w3.org/2001/XMLSchema" xmlns:p="http://schemas.microsoft.com/office/2006/metadata/properties" xmlns:ns3="b90a7d75-0755-4792-a344-1fd55682ffcc" xmlns:ns4="774e9eca-dbd3-48a4-ad96-fee3d00055d5" targetNamespace="http://schemas.microsoft.com/office/2006/metadata/properties" ma:root="true" ma:fieldsID="7093834a2664c5baf112d07eab4369d8" ns3:_="" ns4:_="">
    <xsd:import namespace="b90a7d75-0755-4792-a344-1fd55682ffcc"/>
    <xsd:import namespace="774e9eca-dbd3-48a4-ad96-fee3d00055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7d75-0755-4792-a344-1fd55682f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e9eca-dbd3-48a4-ad96-fee3d0005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10C1E-4A67-4D44-B054-E25856A6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7d75-0755-4792-a344-1fd55682ffcc"/>
    <ds:schemaRef ds:uri="774e9eca-dbd3-48a4-ad96-fee3d0005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93C68-5655-45DD-A9B2-FB215D0EB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CDCB9-F0CB-4FB7-AC3E-4A2F27B328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74e9eca-dbd3-48a4-ad96-fee3d00055d5"/>
    <ds:schemaRef ds:uri="b90a7d75-0755-4792-a344-1fd55682ff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søkere som skal registrere seg hos politiet</vt:lpstr>
    </vt:vector>
  </TitlesOfParts>
  <Company>eKommune Sunnmore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søkere som skal registrere seg hos politiet</dc:title>
  <dc:subject/>
  <dc:creator>Anette Thonhaugen</dc:creator>
  <cp:keywords/>
  <cp:lastModifiedBy>Sofie Katrin Holmeset</cp:lastModifiedBy>
  <cp:revision>2</cp:revision>
  <dcterms:created xsi:type="dcterms:W3CDTF">2022-04-05T15:43:00Z</dcterms:created>
  <dcterms:modified xsi:type="dcterms:W3CDTF">2022-04-05T15:43:00Z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0x010100454C93CA15E52E43B129E30DF360ED0D</vt:lpwstr>
  </property>
</Properties>
</file>